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08" w:rsidRDefault="00E52A08" w:rsidP="00FA227D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 w:rsid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 w:rsid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:rsidR="00FA227D" w:rsidRPr="00EA4F3B" w:rsidRDefault="00FA227D" w:rsidP="00EA4F3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</w:pPr>
      <w:r w:rsidRPr="00EA4F3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109.12</w:t>
      </w:r>
    </w:p>
    <w:p w:rsidR="00E52A08" w:rsidRDefault="00E52A08" w:rsidP="00E52A08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:rsidR="00E52A08" w:rsidRDefault="00E52A08" w:rsidP="00FA227D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針於農業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用地上擬申請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電業表燈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登記單，並於背面備註欄敘明用途及理由，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向用電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用電確屬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農業用途使用，以作為電業據以供電之證明文件。</w:t>
      </w:r>
    </w:p>
    <w:p w:rsidR="00E52A08" w:rsidRPr="00FA227D" w:rsidRDefault="00E52A08" w:rsidP="00FA227D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此，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截至109年12月25日台電公司針對農地用戶申請</w:t>
      </w:r>
      <w:proofErr w:type="gramStart"/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用電件數</w:t>
      </w:r>
      <w:proofErr w:type="gramEnd"/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統計如下：</w:t>
      </w:r>
    </w:p>
    <w:p w:rsidR="00E52A08" w:rsidRDefault="00E52A08" w:rsidP="00FA227D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Microsoft JhengHei UI" w:eastAsia="Microsoft JhengHei UI" w:hAnsi="Microsoft JhengHei UI" w:hint="eastAsia"/>
          <w:color w:val="212121"/>
          <w:sz w:val="20"/>
          <w:szCs w:val="20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(</w:t>
      </w:r>
      <w:proofErr w:type="gramStart"/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一</w:t>
      </w:r>
      <w:proofErr w:type="gramEnd"/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)109年9月16日前收2,714件：經</w:t>
      </w:r>
      <w:r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共936件。</w:t>
      </w:r>
    </w:p>
    <w:p w:rsidR="00E52A08" w:rsidRDefault="00E52A08" w:rsidP="00E52A0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Microsoft JhengHei UI" w:eastAsia="Microsoft JhengHei UI" w:hAnsi="Microsoft JhengHei UI" w:hint="eastAsia"/>
          <w:color w:val="212121"/>
          <w:sz w:val="20"/>
          <w:szCs w:val="20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(二)109年9月17日至12月25日收3,660件：</w:t>
      </w:r>
    </w:p>
    <w:p w:rsidR="00E52A08" w:rsidRDefault="00E52A08" w:rsidP="00E52A0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118" w:left="566" w:hangingChars="101" w:hanging="283"/>
        <w:jc w:val="both"/>
        <w:rPr>
          <w:rFonts w:ascii="Microsoft JhengHei UI" w:eastAsia="Microsoft JhengHei UI" w:hAnsi="Microsoft JhengHei UI" w:hint="eastAsia"/>
          <w:color w:val="212121"/>
          <w:sz w:val="20"/>
          <w:szCs w:val="20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1.申請農業用途3,499件：經農業單位</w:t>
      </w:r>
      <w:proofErr w:type="gramStart"/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查覆確</w:t>
      </w:r>
      <w:proofErr w:type="gramEnd"/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為</w:t>
      </w:r>
      <w:r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共2,722件；</w:t>
      </w:r>
      <w:r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777件。</w:t>
      </w:r>
    </w:p>
    <w:p w:rsidR="00E52A08" w:rsidRDefault="00E52A08" w:rsidP="00E52A0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118" w:left="566" w:hangingChars="101" w:hanging="283"/>
        <w:jc w:val="both"/>
        <w:rPr>
          <w:rFonts w:ascii="Microsoft JhengHei UI" w:eastAsia="Microsoft JhengHei UI" w:hAnsi="Microsoft JhengHei UI" w:hint="eastAsia"/>
          <w:color w:val="212121"/>
          <w:sz w:val="20"/>
          <w:szCs w:val="20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2.申請非農業用途161件：</w:t>
      </w:r>
      <w:r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共94件；</w:t>
      </w:r>
      <w:r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67件。</w:t>
      </w:r>
    </w:p>
    <w:sectPr w:rsidR="00E52A08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2A08"/>
    <w:rsid w:val="000615AC"/>
    <w:rsid w:val="00E52A08"/>
    <w:rsid w:val="00EA4F3B"/>
    <w:rsid w:val="00FA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2A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張家銘</dc:creator>
  <cp:lastModifiedBy>張家銘</cp:lastModifiedBy>
  <cp:revision>2</cp:revision>
  <cp:lastPrinted>2020-12-31T02:31:00Z</cp:lastPrinted>
  <dcterms:created xsi:type="dcterms:W3CDTF">2020-12-31T02:16:00Z</dcterms:created>
  <dcterms:modified xsi:type="dcterms:W3CDTF">2020-12-31T02:32:00Z</dcterms:modified>
</cp:coreProperties>
</file>